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CEEA" w14:textId="77777777" w:rsidR="00BB76B3" w:rsidRPr="00BB76B3" w:rsidRDefault="00BB76B3" w:rsidP="00BB76B3">
      <w:pPr>
        <w:pStyle w:val="PlainText"/>
        <w:rPr>
          <w:rFonts w:ascii="Courier New" w:hAnsi="Courier New" w:cs="Courier New"/>
        </w:rPr>
      </w:pPr>
      <w:r w:rsidRPr="00BB76B3">
        <w:rPr>
          <w:rFonts w:ascii="Courier New" w:hAnsi="Courier New" w:cs="Courier New"/>
        </w:rPr>
        <w:t>- [Instructor] This is part two of a three part series to help CCCE members study for their Certified Commercial Cannabis Expert Exam. The intent of these videos is to assist members in their understanding of the Commercial Cannabis Handbook. Specifically, how ACCCE describes the commercial cannabis industry, expresses risk management concepts, and approaches cannabis risk management problems and solutions. These videos are training aids for your review of the Commercial Cannabis Handbook. In other words, all of the questions on the CCCE Exam can be traced back to the Commercial Cannabis Handbook. These videos were created to aid a member's understanding of the more complex issues. To sit for the CCCE Exam, you already have a background in commercial cannabis business or risk management in general. This makes you highly knowledgeable, which is part of becoming an expert. The CCCE Education Advisory Board believes that expertise implies both knowledge and the ability to express that knowledge. To that end, the CCCE test is focused on the common vernacular used by ACCCE and chapter objectives. This video will review the major considerations in the Cannabis Risk Management Framework or CRMF.</w:t>
      </w:r>
    </w:p>
    <w:sectPr w:rsidR="00BB76B3" w:rsidRPr="00BB76B3" w:rsidSect="005B564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AB2E40"/>
    <w:rsid w:val="00BB76B3"/>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357B17"/>
  <w15:chartTrackingRefBased/>
  <w15:docId w15:val="{758A12C9-EA82-8E40-ACB7-D8B3F69F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64E"/>
    <w:rPr>
      <w:rFonts w:ascii="Consolas" w:hAnsi="Consolas" w:cs="Consolas"/>
      <w:sz w:val="21"/>
      <w:szCs w:val="21"/>
    </w:rPr>
  </w:style>
  <w:style w:type="character" w:customStyle="1" w:styleId="PlainTextChar">
    <w:name w:val="Plain Text Char"/>
    <w:basedOn w:val="DefaultParagraphFont"/>
    <w:link w:val="PlainText"/>
    <w:uiPriority w:val="99"/>
    <w:rsid w:val="005B564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