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F90" w14:textId="77777777" w:rsidR="00231AE5" w:rsidRPr="00231AE5" w:rsidRDefault="00231AE5" w:rsidP="00231AE5">
      <w:pPr>
        <w:pStyle w:val="PlainText"/>
        <w:rPr>
          <w:rFonts w:ascii="Courier New" w:hAnsi="Courier New" w:cs="Courier New"/>
        </w:rPr>
      </w:pPr>
      <w:r w:rsidRPr="00231AE5">
        <w:rPr>
          <w:rFonts w:ascii="Courier New" w:hAnsi="Courier New" w:cs="Courier New"/>
        </w:rPr>
        <w:t>- [Instructor] Training. The fifth component of the cannabis risk management framework is to implement training that ensures all stakeholders are aware of how to manage their risks and responsibilities. A risk based approach to training enables the commercial cannabis business to provide education across the organization and incorporate factors such as role and risk level associated with that role. The main goals in implementing a risk based training program are to ensure that the training is accurate, appropriate for each job function, proficiency is tested, and records are kept. Training should consider both initial and ongoing needs for each stakeholder as they perform their functions within the company and at a minimum should include identification of internal policies and procedures, underlying requirements for compliance, penalties for non-compliance, and a responsible employee or department to contact with questions. Training is generally considered a cost effective way to improve quality in your business processes. Where service or product quality is not at the appropriate standard, review the training around the business activity. Compared to changing the control or operations of your business, it is generally more effective to enhance your training to assure it is accurate, appropriate for each job function. And the trainee can demonstrate proficiency. In short, employees should be trained on how the employer wants them to do their job so they can accomplish their business tasks correctly. As with other components of your CRMF, training should be risk based as your business grows and changes and your risks become more dynamic. Training should never just occur one time and stop there.</w:t>
      </w:r>
    </w:p>
    <w:sectPr w:rsidR="00231AE5" w:rsidRPr="00231AE5" w:rsidSect="007B6E7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231AE5"/>
    <w:rsid w:val="004628C3"/>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67FCCF"/>
  <w15:chartTrackingRefBased/>
  <w15:docId w15:val="{4444D31A-B973-C147-A00E-9EFE3527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6E7B"/>
    <w:rPr>
      <w:rFonts w:ascii="Consolas" w:hAnsi="Consolas" w:cs="Consolas"/>
      <w:sz w:val="21"/>
      <w:szCs w:val="21"/>
    </w:rPr>
  </w:style>
  <w:style w:type="character" w:customStyle="1" w:styleId="PlainTextChar">
    <w:name w:val="Plain Text Char"/>
    <w:basedOn w:val="DefaultParagraphFont"/>
    <w:link w:val="PlainText"/>
    <w:uiPriority w:val="99"/>
    <w:rsid w:val="007B6E7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2022-07-27T22:41:00Z</dcterms:created>
  <dcterms:modified xsi:type="dcterms:W3CDTF">2022-07-27T22:41:00Z</dcterms:modified>
</cp:coreProperties>
</file>